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933240">
      <w:pPr>
        <w:ind w:firstLine="567"/>
        <w:jc w:val="center"/>
        <w:rPr>
          <w:b/>
          <w:sz w:val="22"/>
          <w:szCs w:val="22"/>
        </w:rPr>
      </w:pPr>
      <w:r>
        <w:rPr>
          <w:b/>
          <w:sz w:val="22"/>
          <w:szCs w:val="22"/>
        </w:rPr>
        <w:t>ПРОЕКТ</w:t>
      </w:r>
    </w:p>
    <w:p w:rsidR="00BE11FB" w:rsidRDefault="00BE11FB" w:rsidP="00933240">
      <w:pPr>
        <w:ind w:firstLine="567"/>
        <w:jc w:val="center"/>
        <w:rPr>
          <w:b/>
          <w:sz w:val="22"/>
          <w:szCs w:val="22"/>
        </w:rPr>
      </w:pPr>
      <w:r w:rsidRPr="006E0D06">
        <w:rPr>
          <w:b/>
          <w:sz w:val="22"/>
          <w:szCs w:val="22"/>
        </w:rPr>
        <w:t>МУН</w:t>
      </w:r>
      <w:r w:rsidR="00E90731" w:rsidRPr="006E0D06">
        <w:rPr>
          <w:b/>
          <w:sz w:val="22"/>
          <w:szCs w:val="22"/>
        </w:rPr>
        <w:t xml:space="preserve">ИЦИПАЛЬНЫЙ КОНТРАКТ  № </w:t>
      </w:r>
    </w:p>
    <w:p w:rsidR="00A572D0" w:rsidRPr="006E0D06" w:rsidRDefault="00A572D0" w:rsidP="00933240">
      <w:pPr>
        <w:ind w:firstLine="567"/>
        <w:jc w:val="center"/>
        <w:rPr>
          <w:sz w:val="22"/>
          <w:szCs w:val="22"/>
        </w:rPr>
      </w:pPr>
    </w:p>
    <w:p w:rsidR="00FB556C" w:rsidRDefault="00FB556C" w:rsidP="00BE11FB">
      <w:pPr>
        <w:jc w:val="both"/>
        <w:rPr>
          <w:sz w:val="22"/>
          <w:szCs w:val="22"/>
        </w:rPr>
      </w:pPr>
    </w:p>
    <w:p w:rsidR="00A572D0"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p>
    <w:p w:rsidR="00BE11FB" w:rsidRPr="006E0D06" w:rsidRDefault="00BE11FB" w:rsidP="00BE11FB">
      <w:pPr>
        <w:jc w:val="both"/>
        <w:rPr>
          <w:sz w:val="22"/>
          <w:szCs w:val="22"/>
        </w:rPr>
      </w:pPr>
      <w:r w:rsidRPr="006E0D06">
        <w:rPr>
          <w:sz w:val="22"/>
          <w:szCs w:val="22"/>
        </w:rPr>
        <w:tab/>
      </w:r>
      <w:r w:rsidRPr="006E0D06">
        <w:rPr>
          <w:sz w:val="22"/>
          <w:szCs w:val="22"/>
        </w:rPr>
        <w:tab/>
      </w:r>
      <w:r w:rsidRPr="006E0D06">
        <w:rPr>
          <w:sz w:val="22"/>
          <w:szCs w:val="22"/>
        </w:rPr>
        <w:tab/>
      </w:r>
      <w:r w:rsidRPr="006E0D06">
        <w:rPr>
          <w:sz w:val="22"/>
          <w:szCs w:val="22"/>
        </w:rPr>
        <w:tab/>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6E1D11">
        <w:rPr>
          <w:sz w:val="22"/>
          <w:szCs w:val="22"/>
        </w:rPr>
        <w:t xml:space="preserve">        </w:t>
      </w:r>
      <w:r w:rsidR="005E1AB7">
        <w:rPr>
          <w:sz w:val="22"/>
          <w:szCs w:val="22"/>
        </w:rPr>
        <w:t xml:space="preserve"> </w:t>
      </w:r>
      <w:r w:rsidR="006E1D11">
        <w:rPr>
          <w:sz w:val="22"/>
          <w:szCs w:val="22"/>
        </w:rPr>
        <w:t xml:space="preserve">          </w:t>
      </w:r>
      <w:r w:rsidR="00933240" w:rsidRPr="006E0D06">
        <w:rPr>
          <w:sz w:val="22"/>
          <w:szCs w:val="22"/>
        </w:rPr>
        <w:t xml:space="preserve"> </w:t>
      </w:r>
      <w:r w:rsidR="00EC3161" w:rsidRPr="006E0D06">
        <w:rPr>
          <w:sz w:val="22"/>
          <w:szCs w:val="22"/>
        </w:rPr>
        <w:t xml:space="preserve"> </w:t>
      </w:r>
      <w:r w:rsidRPr="006E0D06">
        <w:rPr>
          <w:sz w:val="22"/>
          <w:szCs w:val="22"/>
        </w:rPr>
        <w:t>20</w:t>
      </w:r>
      <w:r w:rsidR="0086311A" w:rsidRPr="006E0D06">
        <w:rPr>
          <w:sz w:val="22"/>
          <w:szCs w:val="22"/>
        </w:rPr>
        <w:t>1</w:t>
      </w:r>
      <w:r w:rsidR="00EB2E1E">
        <w:rPr>
          <w:sz w:val="22"/>
          <w:szCs w:val="22"/>
        </w:rPr>
        <w:t>5</w:t>
      </w:r>
      <w:r w:rsidRPr="006E0D06">
        <w:rPr>
          <w:sz w:val="22"/>
          <w:szCs w:val="22"/>
        </w:rPr>
        <w:t xml:space="preserve"> г. </w:t>
      </w:r>
    </w:p>
    <w:p w:rsidR="00BE11FB" w:rsidRPr="006E0D06" w:rsidRDefault="00BE11FB" w:rsidP="00BE11FB">
      <w:pPr>
        <w:ind w:firstLine="567"/>
        <w:jc w:val="both"/>
        <w:rPr>
          <w:sz w:val="22"/>
          <w:szCs w:val="22"/>
        </w:rPr>
      </w:pPr>
    </w:p>
    <w:p w:rsidR="00BE11FB"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 Главы администрации Шеренговской Татьяны Дмитриевны, </w:t>
      </w:r>
      <w:r w:rsidR="00CD169F" w:rsidRPr="00CD169F">
        <w:rPr>
          <w:sz w:val="22"/>
          <w:szCs w:val="22"/>
        </w:rPr>
        <w:t>действующего на основании Устава, именуемое в дальнейшем «Муниципальный заказчик», с одной стороны, и</w:t>
      </w:r>
      <w:r w:rsidR="004F69E8">
        <w:rPr>
          <w:sz w:val="22"/>
          <w:szCs w:val="22"/>
        </w:rPr>
        <w:t>_____________</w:t>
      </w:r>
      <w:r w:rsidR="00CD169F" w:rsidRPr="00CD169F">
        <w:rPr>
          <w:sz w:val="22"/>
          <w:szCs w:val="22"/>
        </w:rPr>
        <w:t xml:space="preserve"> </w:t>
      </w:r>
      <w:r w:rsidR="004F69E8">
        <w:rPr>
          <w:b/>
          <w:sz w:val="22"/>
          <w:szCs w:val="22"/>
        </w:rPr>
        <w:t xml:space="preserve">                   </w:t>
      </w:r>
      <w:r w:rsidR="00705E5A">
        <w:rPr>
          <w:b/>
          <w:sz w:val="22"/>
          <w:szCs w:val="22"/>
        </w:rPr>
        <w:t xml:space="preserve"> </w:t>
      </w:r>
      <w:r w:rsidR="00CD169F" w:rsidRPr="00CD169F">
        <w:rPr>
          <w:sz w:val="22"/>
          <w:szCs w:val="22"/>
        </w:rPr>
        <w:t>в лице</w:t>
      </w:r>
      <w:r w:rsidR="004F69E8">
        <w:rPr>
          <w:sz w:val="22"/>
          <w:szCs w:val="22"/>
        </w:rPr>
        <w:t xml:space="preserve"> </w:t>
      </w:r>
      <w:r w:rsidR="006E1D11">
        <w:rPr>
          <w:sz w:val="22"/>
          <w:szCs w:val="22"/>
        </w:rPr>
        <w:t xml:space="preserve"> </w:t>
      </w:r>
      <w:r w:rsidR="004F69E8">
        <w:rPr>
          <w:sz w:val="22"/>
          <w:szCs w:val="22"/>
        </w:rPr>
        <w:t>действующего на основании _________</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4F69E8">
        <w:rPr>
          <w:sz w:val="22"/>
          <w:szCs w:val="22"/>
        </w:rPr>
        <w:t>___________ от ______</w:t>
      </w:r>
      <w:r w:rsidR="00705E5A">
        <w:rPr>
          <w:sz w:val="22"/>
          <w:szCs w:val="22"/>
        </w:rPr>
        <w:t>2015</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A572D0" w:rsidRPr="00AE2E72" w:rsidRDefault="00A572D0" w:rsidP="00AE2E72">
      <w:pPr>
        <w:ind w:firstLine="709"/>
        <w:jc w:val="both"/>
        <w:rPr>
          <w:sz w:val="22"/>
          <w:szCs w:val="22"/>
        </w:rPr>
      </w:pP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автомобильной</w:t>
      </w:r>
      <w:r w:rsidR="001601E3" w:rsidRPr="001601E3">
        <w:rPr>
          <w:b/>
          <w:sz w:val="22"/>
          <w:szCs w:val="22"/>
        </w:rPr>
        <w:t xml:space="preserve"> дорог</w:t>
      </w:r>
      <w:r w:rsidR="00CC7650">
        <w:rPr>
          <w:b/>
          <w:sz w:val="22"/>
          <w:szCs w:val="22"/>
        </w:rPr>
        <w:t>и общего пользования муницип</w:t>
      </w:r>
      <w:r w:rsidR="00956826">
        <w:rPr>
          <w:b/>
          <w:sz w:val="22"/>
          <w:szCs w:val="22"/>
        </w:rPr>
        <w:t>а</w:t>
      </w:r>
      <w:r w:rsidR="00E311E9">
        <w:rPr>
          <w:b/>
          <w:sz w:val="22"/>
          <w:szCs w:val="22"/>
        </w:rPr>
        <w:t>льного значения в д.Б.Стремление</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00CA3380">
        <w:rPr>
          <w:rFonts w:ascii="Times New Roman" w:hAnsi="Times New Roman" w:cs="Times New Roman"/>
          <w:sz w:val="22"/>
          <w:szCs w:val="22"/>
        </w:rPr>
        <w:t>. Состав, объем, содержание и стоимость работ определены: Техническим заданием (Приложение № 1),Локальной сметой (Приложение № 2), являющимися неотъемлемой частью настоящего муниципального контракта.</w:t>
      </w:r>
    </w:p>
    <w:p w:rsidR="00CA3380" w:rsidRPr="006E1D11" w:rsidRDefault="00CA3380" w:rsidP="00CA3380">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Pr>
          <w:rFonts w:ascii="Times New Roman" w:hAnsi="Times New Roman" w:cs="Times New Roman"/>
          <w:sz w:val="22"/>
          <w:szCs w:val="22"/>
        </w:rPr>
        <w:t>3</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1C6988" w:rsidRDefault="00BE11FB" w:rsidP="00144862">
      <w:pPr>
        <w:ind w:firstLine="567"/>
        <w:jc w:val="both"/>
        <w:rPr>
          <w:b/>
          <w:sz w:val="22"/>
          <w:szCs w:val="22"/>
        </w:rPr>
      </w:pPr>
      <w:r w:rsidRPr="00CD169F">
        <w:rPr>
          <w:sz w:val="22"/>
          <w:szCs w:val="22"/>
        </w:rPr>
        <w:t>2.1. Цена муниципального контракта составляет</w:t>
      </w:r>
      <w:r w:rsidR="00944FF0" w:rsidRPr="00CD169F">
        <w:rPr>
          <w:sz w:val="22"/>
          <w:szCs w:val="22"/>
        </w:rPr>
        <w:t xml:space="preserve"> </w:t>
      </w:r>
      <w:r w:rsidR="004F69E8">
        <w:rPr>
          <w:b/>
          <w:sz w:val="22"/>
          <w:szCs w:val="22"/>
        </w:rPr>
        <w:t xml:space="preserve"> ____руб. ___ коп.</w:t>
      </w:r>
      <w:r w:rsidR="001C6988">
        <w:rPr>
          <w:b/>
          <w:sz w:val="22"/>
          <w:szCs w:val="22"/>
        </w:rPr>
        <w:t>, в том числе</w:t>
      </w:r>
      <w:r w:rsidR="004F69E8">
        <w:rPr>
          <w:b/>
          <w:sz w:val="22"/>
          <w:szCs w:val="22"/>
        </w:rPr>
        <w:t xml:space="preserve"> НДС (18%) в размере  _____ руб.____</w:t>
      </w:r>
      <w:r w:rsidR="00231B37">
        <w:rPr>
          <w:b/>
          <w:sz w:val="22"/>
          <w:szCs w:val="22"/>
        </w:rPr>
        <w:t xml:space="preserve"> коп.</w:t>
      </w:r>
      <w:r w:rsidR="001C6988">
        <w:rPr>
          <w:b/>
          <w:sz w:val="22"/>
          <w:szCs w:val="22"/>
        </w:rPr>
        <w:t xml:space="preserve"> за счет средств:</w:t>
      </w:r>
    </w:p>
    <w:p w:rsidR="00BE11FB" w:rsidRPr="00CD169F" w:rsidRDefault="001C6988" w:rsidP="00144862">
      <w:pPr>
        <w:ind w:firstLine="567"/>
        <w:jc w:val="both"/>
        <w:rPr>
          <w:sz w:val="22"/>
          <w:szCs w:val="22"/>
        </w:rPr>
      </w:pPr>
      <w:r>
        <w:rPr>
          <w:b/>
          <w:sz w:val="22"/>
          <w:szCs w:val="22"/>
        </w:rPr>
        <w:t>-</w:t>
      </w:r>
      <w:r w:rsidR="00316F5D">
        <w:rPr>
          <w:b/>
          <w:sz w:val="22"/>
          <w:szCs w:val="22"/>
        </w:rPr>
        <w:t xml:space="preserve"> бюджета муниципального образования «Нежновс</w:t>
      </w:r>
      <w:r w:rsidR="004F69E8">
        <w:rPr>
          <w:b/>
          <w:sz w:val="22"/>
          <w:szCs w:val="22"/>
        </w:rPr>
        <w:t>кое сельское поселение» - _______ руб.__ коп. , в том числе НДС (18%) _______</w:t>
      </w:r>
      <w:r w:rsidR="00231B37">
        <w:rPr>
          <w:b/>
          <w:sz w:val="22"/>
          <w:szCs w:val="22"/>
        </w:rPr>
        <w:t xml:space="preserve"> руб.</w:t>
      </w:r>
      <w:r w:rsidR="004F69E8">
        <w:rPr>
          <w:b/>
          <w:sz w:val="22"/>
          <w:szCs w:val="22"/>
        </w:rPr>
        <w:t>__</w:t>
      </w:r>
      <w:r w:rsidR="008158F6">
        <w:rPr>
          <w:b/>
          <w:sz w:val="22"/>
          <w:szCs w:val="22"/>
        </w:rPr>
        <w:t xml:space="preserve"> коп.</w:t>
      </w:r>
      <w:r w:rsidR="00231B37">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EB2E1E">
        <w:rPr>
          <w:sz w:val="22"/>
          <w:szCs w:val="22"/>
        </w:rPr>
        <w:t>.</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t xml:space="preserve">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6E0D06">
        <w:rPr>
          <w:sz w:val="22"/>
          <w:szCs w:val="22"/>
        </w:rPr>
        <w:lastRenderedPageBreak/>
        <w:t>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E30E09">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A572D0" w:rsidRPr="00AE2E72" w:rsidRDefault="00A572D0" w:rsidP="00583FDB">
      <w:pPr>
        <w:pStyle w:val="ConsNormal"/>
        <w:ind w:left="927" w:right="0" w:firstLine="0"/>
        <w:rPr>
          <w:rFonts w:ascii="Times New Roman" w:hAnsi="Times New Roman" w:cs="Times New Roman"/>
          <w:b/>
          <w:sz w:val="22"/>
          <w:szCs w:val="22"/>
        </w:rPr>
      </w:pP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BE11FB" w:rsidRPr="006E0D06" w:rsidRDefault="00E90731" w:rsidP="00BE11FB">
      <w:pPr>
        <w:tabs>
          <w:tab w:val="left" w:pos="3544"/>
        </w:tabs>
        <w:ind w:firstLine="540"/>
        <w:jc w:val="both"/>
        <w:rPr>
          <w:sz w:val="22"/>
          <w:szCs w:val="22"/>
        </w:rPr>
      </w:pPr>
      <w:r w:rsidRPr="006E0D06">
        <w:rPr>
          <w:sz w:val="22"/>
          <w:szCs w:val="22"/>
        </w:rPr>
        <w:t xml:space="preserve">Муниципальный заказчик </w:t>
      </w:r>
      <w:r w:rsidR="008C166A" w:rsidRPr="006E0D06">
        <w:rPr>
          <w:sz w:val="22"/>
          <w:szCs w:val="22"/>
        </w:rPr>
        <w:t>за</w:t>
      </w:r>
      <w:r w:rsidR="00BE11FB" w:rsidRPr="006E0D06">
        <w:rPr>
          <w:sz w:val="22"/>
          <w:szCs w:val="22"/>
        </w:rPr>
        <w:t xml:space="preserve"> </w:t>
      </w:r>
      <w:r w:rsidR="002A5440" w:rsidRPr="006E0D06">
        <w:rPr>
          <w:sz w:val="22"/>
          <w:szCs w:val="22"/>
        </w:rPr>
        <w:t>десят</w:t>
      </w:r>
      <w:r w:rsidR="008C166A" w:rsidRPr="006E0D06">
        <w:rPr>
          <w:sz w:val="22"/>
          <w:szCs w:val="22"/>
        </w:rPr>
        <w:t>ь</w:t>
      </w:r>
      <w:r w:rsidR="00BE11FB" w:rsidRPr="006E0D06">
        <w:rPr>
          <w:sz w:val="22"/>
          <w:szCs w:val="22"/>
        </w:rPr>
        <w:t xml:space="preserve"> ра</w:t>
      </w:r>
      <w:r w:rsidR="00A00583" w:rsidRPr="006E0D06">
        <w:rPr>
          <w:sz w:val="22"/>
          <w:szCs w:val="22"/>
        </w:rPr>
        <w:t>бочих дней до</w:t>
      </w:r>
      <w:r w:rsidRPr="006E0D06">
        <w:rPr>
          <w:sz w:val="22"/>
          <w:szCs w:val="22"/>
        </w:rPr>
        <w:t xml:space="preserve"> момента </w:t>
      </w:r>
      <w:r w:rsidR="00A00583" w:rsidRPr="006E0D06">
        <w:rPr>
          <w:sz w:val="22"/>
          <w:szCs w:val="22"/>
        </w:rPr>
        <w:t>начала выполнения работ</w:t>
      </w:r>
      <w:r w:rsidR="00BE11FB" w:rsidRPr="006E0D06">
        <w:rPr>
          <w:sz w:val="22"/>
          <w:szCs w:val="22"/>
        </w:rPr>
        <w:t xml:space="preserve"> разрабатывает и </w:t>
      </w:r>
      <w:r w:rsidR="000355B2" w:rsidRPr="006E0D06">
        <w:rPr>
          <w:sz w:val="22"/>
          <w:szCs w:val="22"/>
        </w:rPr>
        <w:t>передает</w:t>
      </w:r>
      <w:r w:rsidR="00BE11FB" w:rsidRPr="006E0D06">
        <w:rPr>
          <w:sz w:val="22"/>
          <w:szCs w:val="22"/>
        </w:rPr>
        <w:t xml:space="preserve"> </w:t>
      </w:r>
      <w:r w:rsidRPr="006E0D06">
        <w:rPr>
          <w:sz w:val="22"/>
          <w:szCs w:val="22"/>
        </w:rPr>
        <w:t>Подрядчик</w:t>
      </w:r>
      <w:r w:rsidR="000355B2" w:rsidRPr="006E0D06">
        <w:rPr>
          <w:sz w:val="22"/>
          <w:szCs w:val="22"/>
        </w:rPr>
        <w:t>у</w:t>
      </w:r>
      <w:r w:rsidR="000A32C1" w:rsidRPr="006E0D06">
        <w:rPr>
          <w:sz w:val="22"/>
          <w:szCs w:val="22"/>
        </w:rPr>
        <w:t xml:space="preserve"> </w:t>
      </w:r>
      <w:r w:rsidR="004C6A78" w:rsidRPr="006E0D06">
        <w:rPr>
          <w:sz w:val="22"/>
          <w:szCs w:val="22"/>
        </w:rPr>
        <w:t xml:space="preserve"> задание</w:t>
      </w:r>
      <w:r w:rsidR="00BE11FB" w:rsidRPr="006E0D06">
        <w:rPr>
          <w:sz w:val="22"/>
          <w:szCs w:val="22"/>
        </w:rPr>
        <w:t xml:space="preserve"> </w:t>
      </w:r>
      <w:r w:rsidR="00006362" w:rsidRPr="006E0D06">
        <w:rPr>
          <w:sz w:val="22"/>
          <w:szCs w:val="22"/>
        </w:rPr>
        <w:t xml:space="preserve"> на </w:t>
      </w:r>
      <w:r w:rsidR="00BE11FB" w:rsidRPr="006E0D06">
        <w:rPr>
          <w:sz w:val="22"/>
          <w:szCs w:val="22"/>
        </w:rPr>
        <w:t>произ</w:t>
      </w:r>
      <w:r w:rsidR="00006362" w:rsidRPr="006E0D06">
        <w:rPr>
          <w:sz w:val="22"/>
          <w:szCs w:val="22"/>
        </w:rPr>
        <w:t>водство</w:t>
      </w:r>
      <w:r w:rsidR="00BE11FB" w:rsidRPr="006E0D06">
        <w:rPr>
          <w:sz w:val="22"/>
          <w:szCs w:val="22"/>
        </w:rPr>
        <w:t xml:space="preserve"> работ</w:t>
      </w:r>
      <w:r w:rsidR="004C6A78" w:rsidRPr="006E0D06">
        <w:rPr>
          <w:sz w:val="22"/>
          <w:szCs w:val="22"/>
        </w:rPr>
        <w:t>, которое</w:t>
      </w:r>
      <w:r w:rsidR="00BE11FB" w:rsidRPr="006E0D06">
        <w:rPr>
          <w:sz w:val="22"/>
          <w:szCs w:val="22"/>
        </w:rPr>
        <w:t xml:space="preserve"> является неотъемлемой частью настоящего контракта.</w:t>
      </w:r>
      <w:r w:rsidR="00933240" w:rsidRPr="006E0D06">
        <w:rPr>
          <w:sz w:val="22"/>
          <w:szCs w:val="22"/>
        </w:rPr>
        <w:t xml:space="preserve"> Задание на производство работ может выдаваться заказчиком по частям.</w:t>
      </w:r>
      <w:r w:rsidR="000355B2" w:rsidRPr="006E0D06">
        <w:rPr>
          <w:sz w:val="22"/>
          <w:szCs w:val="22"/>
        </w:rPr>
        <w:t xml:space="preserve"> При необходимости Заказчик может вносить изменения в задание на производство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9764B9">
        <w:rPr>
          <w:sz w:val="22"/>
          <w:szCs w:val="22"/>
        </w:rPr>
        <w:t>01 октября</w:t>
      </w:r>
      <w:r w:rsidR="003668D5" w:rsidRPr="006E0D06">
        <w:rPr>
          <w:sz w:val="22"/>
          <w:szCs w:val="22"/>
        </w:rPr>
        <w:t xml:space="preserve"> </w:t>
      </w:r>
      <w:r w:rsidR="009737C4" w:rsidRPr="006E0D06">
        <w:rPr>
          <w:sz w:val="22"/>
          <w:szCs w:val="22"/>
        </w:rPr>
        <w:t>201</w:t>
      </w:r>
      <w:r w:rsidR="00EB2E1E">
        <w:rPr>
          <w:sz w:val="22"/>
          <w:szCs w:val="22"/>
        </w:rPr>
        <w:t>5</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p w:rsidR="00A572D0" w:rsidRDefault="00A572D0" w:rsidP="00B623B8">
      <w:pPr>
        <w:pStyle w:val="consnormal1"/>
        <w:spacing w:before="0" w:beforeAutospacing="0" w:after="0" w:afterAutospacing="0"/>
        <w:ind w:firstLine="540"/>
        <w:jc w:val="both"/>
        <w:rPr>
          <w:sz w:val="22"/>
          <w:szCs w:val="22"/>
        </w:rPr>
      </w:pP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Восстановление подстилающего слоя в размытых, поврежденных местах.</w:t>
            </w:r>
          </w:p>
          <w:p w:rsidR="00956826" w:rsidRDefault="00956826" w:rsidP="00F4138C">
            <w:pPr>
              <w:rPr>
                <w:b/>
                <w:bCs/>
                <w:sz w:val="20"/>
                <w:szCs w:val="20"/>
              </w:rPr>
            </w:pPr>
            <w:r>
              <w:rPr>
                <w:b/>
                <w:bCs/>
                <w:sz w:val="20"/>
                <w:szCs w:val="20"/>
              </w:rPr>
              <w:t>Из песка</w:t>
            </w:r>
            <w:r w:rsidR="00A11600">
              <w:rPr>
                <w:b/>
                <w:bCs/>
                <w:sz w:val="20"/>
                <w:szCs w:val="20"/>
              </w:rPr>
              <w:t xml:space="preserve"> ( песок природный обогощенный для строительных работ повышенной крупности и крупный )</w:t>
            </w:r>
          </w:p>
          <w:p w:rsidR="00956826" w:rsidRPr="00B56321" w:rsidRDefault="00956826" w:rsidP="00F4138C">
            <w:pPr>
              <w:rPr>
                <w:b/>
                <w:bCs/>
                <w:sz w:val="20"/>
                <w:szCs w:val="20"/>
              </w:rPr>
            </w:pPr>
            <w:r>
              <w:rPr>
                <w:b/>
                <w:bCs/>
                <w:sz w:val="20"/>
                <w:szCs w:val="20"/>
              </w:rPr>
              <w:t>Из щебня</w:t>
            </w:r>
            <w:r w:rsidR="00A11600">
              <w:rPr>
                <w:b/>
                <w:bCs/>
                <w:sz w:val="20"/>
                <w:szCs w:val="20"/>
              </w:rPr>
              <w:t xml:space="preserve"> ( Щебень из природного камня для строительных работ: марка: 600,фракция 20-40мм )</w:t>
            </w:r>
          </w:p>
        </w:tc>
        <w:tc>
          <w:tcPr>
            <w:tcW w:w="2693" w:type="dxa"/>
            <w:tcBorders>
              <w:top w:val="nil"/>
              <w:left w:val="nil"/>
              <w:bottom w:val="single" w:sz="4" w:space="0" w:color="auto"/>
              <w:right w:val="single" w:sz="4" w:space="0" w:color="auto"/>
            </w:tcBorders>
            <w:shd w:val="clear" w:color="auto" w:fill="auto"/>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r>
              <w:rPr>
                <w:b/>
                <w:bCs/>
                <w:sz w:val="20"/>
                <w:szCs w:val="20"/>
              </w:rPr>
              <w:t xml:space="preserve"> </w:t>
            </w:r>
            <w:r w:rsidR="006E220A">
              <w:rPr>
                <w:b/>
                <w:bCs/>
                <w:sz w:val="20"/>
                <w:szCs w:val="20"/>
              </w:rPr>
              <w:t>М</w:t>
            </w:r>
            <w:r>
              <w:rPr>
                <w:b/>
                <w:bCs/>
                <w:sz w:val="20"/>
                <w:szCs w:val="20"/>
              </w:rPr>
              <w:t>атериала</w:t>
            </w:r>
            <w:r w:rsidR="006E220A">
              <w:rPr>
                <w:b/>
                <w:bCs/>
                <w:sz w:val="20"/>
                <w:szCs w:val="20"/>
              </w:rPr>
              <w:t xml:space="preserve"> 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6E220A" w:rsidP="006E220A">
            <w:pPr>
              <w:rPr>
                <w:b/>
                <w:bCs/>
                <w:sz w:val="20"/>
                <w:szCs w:val="20"/>
              </w:rPr>
            </w:pPr>
            <w:r>
              <w:rPr>
                <w:b/>
                <w:bCs/>
                <w:sz w:val="20"/>
                <w:szCs w:val="20"/>
              </w:rPr>
              <w:t xml:space="preserve">             М</w:t>
            </w:r>
            <w:r w:rsidR="00956826">
              <w:rPr>
                <w:b/>
                <w:bCs/>
                <w:sz w:val="20"/>
                <w:szCs w:val="20"/>
              </w:rPr>
              <w:t>атериала</w:t>
            </w:r>
            <w:r>
              <w:rPr>
                <w:b/>
                <w:bCs/>
                <w:sz w:val="20"/>
                <w:szCs w:val="20"/>
              </w:rPr>
              <w:t xml:space="preserve"> м3</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583FDB" w:rsidP="00F4138C">
            <w:pPr>
              <w:jc w:val="center"/>
              <w:rPr>
                <w:b/>
                <w:bCs/>
                <w:sz w:val="20"/>
                <w:szCs w:val="20"/>
              </w:rPr>
            </w:pPr>
            <w:r>
              <w:rPr>
                <w:b/>
                <w:bCs/>
                <w:sz w:val="20"/>
                <w:szCs w:val="20"/>
              </w:rPr>
              <w:t>6</w:t>
            </w:r>
            <w:r w:rsidR="006E220A">
              <w:rPr>
                <w:b/>
                <w:bCs/>
                <w:sz w:val="20"/>
                <w:szCs w:val="20"/>
              </w:rPr>
              <w:t>0</w:t>
            </w:r>
            <w:r w:rsidR="00956826">
              <w:rPr>
                <w:b/>
                <w:bCs/>
                <w:sz w:val="20"/>
                <w:szCs w:val="20"/>
              </w:rPr>
              <w:t>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583FDB" w:rsidP="00F4138C">
            <w:pPr>
              <w:jc w:val="center"/>
              <w:rPr>
                <w:b/>
                <w:bCs/>
                <w:sz w:val="20"/>
                <w:szCs w:val="20"/>
              </w:rPr>
            </w:pPr>
            <w:r>
              <w:rPr>
                <w:b/>
                <w:bCs/>
                <w:sz w:val="20"/>
                <w:szCs w:val="20"/>
              </w:rPr>
              <w:t>140</w:t>
            </w:r>
            <w:r w:rsidR="00956826">
              <w:rPr>
                <w:b/>
                <w:bCs/>
                <w:sz w:val="20"/>
                <w:szCs w:val="20"/>
              </w:rPr>
              <w:t xml:space="preserve"> м3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 xml:space="preserve">Восстановление профиля </w:t>
            </w:r>
            <w:r w:rsidR="00910FD1">
              <w:rPr>
                <w:b/>
                <w:bCs/>
                <w:sz w:val="20"/>
                <w:szCs w:val="20"/>
              </w:rPr>
              <w:t>щебеночного покрытия,(133,72</w:t>
            </w:r>
            <w:r>
              <w:rPr>
                <w:b/>
                <w:bCs/>
                <w:sz w:val="20"/>
                <w:szCs w:val="20"/>
              </w:rPr>
              <w:t xml:space="preserve"> м3 щебня ),</w:t>
            </w:r>
          </w:p>
          <w:p w:rsidR="00956826" w:rsidRDefault="00956826" w:rsidP="00F4138C">
            <w:pPr>
              <w:rPr>
                <w:b/>
                <w:bCs/>
                <w:sz w:val="20"/>
                <w:szCs w:val="20"/>
              </w:rPr>
            </w:pPr>
            <w:r>
              <w:rPr>
                <w:b/>
                <w:bCs/>
                <w:sz w:val="20"/>
                <w:szCs w:val="20"/>
              </w:rPr>
              <w:t>Планировка</w:t>
            </w:r>
          </w:p>
          <w:p w:rsidR="00956826" w:rsidRPr="00B56321" w:rsidRDefault="00956826" w:rsidP="00F4138C">
            <w:pPr>
              <w:rPr>
                <w:b/>
                <w:bCs/>
                <w:sz w:val="20"/>
                <w:szCs w:val="20"/>
              </w:rPr>
            </w:pPr>
            <w:r>
              <w:rPr>
                <w:b/>
                <w:bCs/>
                <w:sz w:val="20"/>
                <w:szCs w:val="20"/>
              </w:rPr>
              <w:t>Укатка катком</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6E220A" w:rsidP="00956826">
            <w:pPr>
              <w:rPr>
                <w:b/>
                <w:bCs/>
                <w:sz w:val="20"/>
                <w:szCs w:val="20"/>
              </w:rPr>
            </w:pPr>
            <w:r>
              <w:rPr>
                <w:b/>
                <w:bCs/>
                <w:sz w:val="20"/>
                <w:szCs w:val="20"/>
              </w:rPr>
              <w:t xml:space="preserve">            </w:t>
            </w:r>
            <w:r w:rsidR="00956826">
              <w:rPr>
                <w:b/>
                <w:bCs/>
                <w:sz w:val="20"/>
                <w:szCs w:val="20"/>
              </w:rPr>
              <w:t xml:space="preserve"> </w:t>
            </w:r>
            <w:r>
              <w:rPr>
                <w:b/>
                <w:bCs/>
                <w:sz w:val="20"/>
                <w:szCs w:val="20"/>
              </w:rPr>
              <w:t>П</w:t>
            </w:r>
            <w:r w:rsidR="00956826">
              <w:rPr>
                <w:b/>
                <w:bCs/>
                <w:sz w:val="20"/>
                <w:szCs w:val="20"/>
              </w:rPr>
              <w:t>окрытия</w:t>
            </w:r>
            <w:r>
              <w:rPr>
                <w:b/>
                <w:bCs/>
                <w:sz w:val="20"/>
                <w:szCs w:val="20"/>
              </w:rPr>
              <w:t xml:space="preserve"> м2</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Pr="00B56321" w:rsidRDefault="00583FDB" w:rsidP="00F4138C">
            <w:pPr>
              <w:jc w:val="center"/>
              <w:rPr>
                <w:b/>
                <w:bCs/>
                <w:sz w:val="20"/>
                <w:szCs w:val="20"/>
              </w:rPr>
            </w:pPr>
            <w:r>
              <w:rPr>
                <w:b/>
                <w:bCs/>
                <w:sz w:val="20"/>
                <w:szCs w:val="20"/>
              </w:rPr>
              <w:t>8928,5</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A572D0" w:rsidRPr="00EB2E1E" w:rsidRDefault="00A572D0" w:rsidP="00EB2E1E">
      <w:pPr>
        <w:ind w:firstLine="284"/>
        <w:jc w:val="both"/>
        <w:rPr>
          <w:sz w:val="22"/>
          <w:szCs w:val="22"/>
        </w:rPr>
      </w:pPr>
    </w:p>
    <w:p w:rsidR="00EB2E1E" w:rsidRPr="00EB2E1E" w:rsidRDefault="00EB2E1E" w:rsidP="00EB2E1E">
      <w:pPr>
        <w:pStyle w:val="aa"/>
        <w:jc w:val="both"/>
        <w:rPr>
          <w:sz w:val="22"/>
          <w:szCs w:val="22"/>
        </w:rPr>
      </w:pPr>
      <w:r w:rsidRPr="00EB2E1E">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w:t>
      </w:r>
      <w:r w:rsidRPr="00EB2E1E">
        <w:rPr>
          <w:sz w:val="22"/>
          <w:szCs w:val="22"/>
        </w:rPr>
        <w:lastRenderedPageBreak/>
        <w:t>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Default="00EB2E1E" w:rsidP="00EB2E1E">
      <w:pPr>
        <w:shd w:val="clear" w:color="auto" w:fill="FFFFFF"/>
        <w:ind w:firstLine="336"/>
        <w:jc w:val="both"/>
        <w:rPr>
          <w:bCs/>
          <w:sz w:val="22"/>
          <w:szCs w:val="22"/>
          <w:u w:val="single"/>
        </w:rPr>
      </w:pPr>
      <w:r w:rsidRPr="00EB2E1E">
        <w:rPr>
          <w:bCs/>
          <w:sz w:val="22"/>
          <w:szCs w:val="22"/>
          <w:u w:val="single"/>
        </w:rPr>
        <w:t>Общие требования к техническому контролю:</w:t>
      </w:r>
    </w:p>
    <w:p w:rsidR="00A572D0" w:rsidRPr="00EB2E1E" w:rsidRDefault="00A572D0" w:rsidP="00EB2E1E">
      <w:pPr>
        <w:shd w:val="clear" w:color="auto" w:fill="FFFFFF"/>
        <w:ind w:firstLine="336"/>
        <w:jc w:val="both"/>
        <w:rPr>
          <w:sz w:val="22"/>
          <w:szCs w:val="22"/>
          <w:u w:val="single"/>
        </w:rPr>
      </w:pP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A572D0"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w:t>
      </w:r>
    </w:p>
    <w:p w:rsidR="00A572D0" w:rsidRDefault="00A572D0" w:rsidP="00EB2E1E">
      <w:pPr>
        <w:tabs>
          <w:tab w:val="left" w:pos="360"/>
        </w:tabs>
        <w:jc w:val="both"/>
        <w:rPr>
          <w:sz w:val="22"/>
          <w:szCs w:val="22"/>
        </w:rPr>
      </w:pPr>
    </w:p>
    <w:p w:rsidR="00EB2E1E" w:rsidRPr="00EB2E1E" w:rsidRDefault="00EB2E1E" w:rsidP="00EB2E1E">
      <w:pPr>
        <w:tabs>
          <w:tab w:val="left" w:pos="360"/>
        </w:tabs>
        <w:jc w:val="both"/>
        <w:rPr>
          <w:sz w:val="22"/>
          <w:szCs w:val="22"/>
        </w:rPr>
      </w:pPr>
      <w:r w:rsidRPr="00EB2E1E">
        <w:rPr>
          <w:sz w:val="22"/>
          <w:szCs w:val="22"/>
        </w:rPr>
        <w:t xml:space="preserve">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A572D0" w:rsidRDefault="00EB2E1E" w:rsidP="00EB2E1E">
      <w:pPr>
        <w:jc w:val="both"/>
        <w:rPr>
          <w:b/>
          <w:sz w:val="22"/>
          <w:szCs w:val="22"/>
        </w:rPr>
      </w:pPr>
      <w:r w:rsidRPr="00EB2E1E">
        <w:rPr>
          <w:b/>
          <w:sz w:val="22"/>
          <w:szCs w:val="22"/>
        </w:rPr>
        <w:t>Требования к результатам работ:</w:t>
      </w:r>
    </w:p>
    <w:p w:rsidR="00A572D0" w:rsidRDefault="00A572D0" w:rsidP="00EB2E1E">
      <w:pPr>
        <w:jc w:val="both"/>
        <w:rPr>
          <w:b/>
          <w:sz w:val="22"/>
          <w:szCs w:val="22"/>
        </w:rPr>
      </w:pPr>
    </w:p>
    <w:p w:rsidR="00EB2E1E" w:rsidRPr="00EB2E1E" w:rsidRDefault="00EB2E1E" w:rsidP="00EB2E1E">
      <w:pPr>
        <w:jc w:val="both"/>
        <w:rPr>
          <w:sz w:val="22"/>
          <w:szCs w:val="22"/>
        </w:rPr>
      </w:pPr>
      <w:r w:rsidRPr="00EB2E1E">
        <w:rPr>
          <w:sz w:val="22"/>
          <w:szCs w:val="22"/>
        </w:rPr>
        <w:t xml:space="preserve"> 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 К</w:t>
      </w:r>
      <w:r w:rsidR="00E42AA6">
        <w:rPr>
          <w:sz w:val="22"/>
          <w:szCs w:val="22"/>
        </w:rPr>
        <w:t>и</w:t>
      </w:r>
      <w:r w:rsidR="00583FDB">
        <w:rPr>
          <w:sz w:val="22"/>
          <w:szCs w:val="22"/>
        </w:rPr>
        <w:t>нгисеппский район д.Б.Стремление</w:t>
      </w:r>
      <w:r w:rsidR="00F96AFA">
        <w:rPr>
          <w:sz w:val="22"/>
          <w:szCs w:val="22"/>
        </w:rPr>
        <w:t>.</w:t>
      </w:r>
    </w:p>
    <w:p w:rsidR="003668D5" w:rsidRPr="006E0D06" w:rsidRDefault="003668D5" w:rsidP="003668D5">
      <w:pPr>
        <w:ind w:firstLine="426"/>
        <w:jc w:val="both"/>
        <w:rPr>
          <w:sz w:val="22"/>
          <w:szCs w:val="22"/>
        </w:rPr>
      </w:pPr>
    </w:p>
    <w:p w:rsidR="00FB556C"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A572D0" w:rsidRPr="00B623B8" w:rsidRDefault="00A572D0" w:rsidP="00583FDB">
      <w:pPr>
        <w:pStyle w:val="ConsNormal"/>
        <w:ind w:left="927" w:right="0" w:firstLine="0"/>
        <w:rPr>
          <w:rFonts w:ascii="Times New Roman" w:hAnsi="Times New Roman" w:cs="Times New Roman"/>
          <w:b/>
          <w:sz w:val="22"/>
          <w:szCs w:val="22"/>
        </w:rPr>
      </w:pP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A572D0" w:rsidRDefault="00A572D0" w:rsidP="00D86DD5">
      <w:pPr>
        <w:pStyle w:val="a8"/>
        <w:spacing w:before="0" w:beforeAutospacing="0" w:after="0" w:afterAutospacing="0"/>
        <w:ind w:firstLine="540"/>
        <w:jc w:val="both"/>
        <w:rPr>
          <w:sz w:val="22"/>
          <w:szCs w:val="22"/>
        </w:rPr>
      </w:pPr>
    </w:p>
    <w:p w:rsidR="00A572D0" w:rsidRPr="006E0D06" w:rsidRDefault="00A572D0" w:rsidP="00D86DD5">
      <w:pPr>
        <w:pStyle w:val="a8"/>
        <w:spacing w:before="0" w:beforeAutospacing="0" w:after="0" w:afterAutospacing="0"/>
        <w:ind w:firstLine="540"/>
        <w:jc w:val="both"/>
        <w:rPr>
          <w:sz w:val="22"/>
          <w:szCs w:val="22"/>
        </w:rPr>
      </w:pP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t>5. ОБЯЗАННОСТИ ПОДРЯДЧИКА</w:t>
      </w:r>
    </w:p>
    <w:p w:rsidR="00A572D0" w:rsidRDefault="00A572D0" w:rsidP="00B623B8">
      <w:pPr>
        <w:pStyle w:val="ConsNormal"/>
        <w:ind w:right="0" w:firstLine="0"/>
        <w:jc w:val="center"/>
        <w:rPr>
          <w:rFonts w:ascii="Times New Roman" w:hAnsi="Times New Roman" w:cs="Times New Roman"/>
          <w:b/>
          <w:sz w:val="22"/>
          <w:szCs w:val="22"/>
        </w:rPr>
      </w:pPr>
    </w:p>
    <w:p w:rsidR="00A572D0" w:rsidRPr="00B623B8" w:rsidRDefault="00A572D0" w:rsidP="00B623B8">
      <w:pPr>
        <w:pStyle w:val="ConsNormal"/>
        <w:ind w:right="0" w:firstLine="0"/>
        <w:jc w:val="center"/>
        <w:rPr>
          <w:rFonts w:ascii="Times New Roman" w:hAnsi="Times New Roman" w:cs="Times New Roman"/>
          <w:b/>
          <w:sz w:val="22"/>
          <w:szCs w:val="22"/>
        </w:rPr>
      </w:pP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lastRenderedPageBreak/>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A572D0" w:rsidRPr="00B623B8" w:rsidRDefault="00A572D0" w:rsidP="00A572D0">
      <w:pPr>
        <w:pStyle w:val="ConsNormal"/>
        <w:ind w:left="2629" w:right="0" w:firstLine="0"/>
        <w:rPr>
          <w:rFonts w:ascii="Times New Roman" w:hAnsi="Times New Roman" w:cs="Times New Roman"/>
          <w:b/>
          <w:sz w:val="22"/>
          <w:szCs w:val="22"/>
        </w:rPr>
      </w:pP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A572D0" w:rsidRPr="00B623B8" w:rsidRDefault="00A572D0" w:rsidP="00A572D0">
      <w:pPr>
        <w:pStyle w:val="ConsNormal"/>
        <w:ind w:left="2269"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A572D0" w:rsidRPr="00B623B8" w:rsidRDefault="00A572D0" w:rsidP="00A572D0">
      <w:pPr>
        <w:pStyle w:val="ConsNormal"/>
        <w:ind w:left="2629" w:right="0" w:firstLine="0"/>
        <w:rPr>
          <w:rFonts w:ascii="Times New Roman" w:hAnsi="Times New Roman" w:cs="Times New Roman"/>
          <w:b/>
          <w:sz w:val="22"/>
          <w:szCs w:val="22"/>
        </w:rPr>
      </w:pP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Default="00933240" w:rsidP="00B623B8">
      <w:pPr>
        <w:pStyle w:val="consnormal1"/>
        <w:numPr>
          <w:ilvl w:val="0"/>
          <w:numId w:val="23"/>
        </w:numPr>
        <w:spacing w:before="0" w:beforeAutospacing="0" w:after="0" w:afterAutospacing="0"/>
        <w:rPr>
          <w:b/>
          <w:caps/>
          <w:sz w:val="22"/>
          <w:szCs w:val="22"/>
        </w:rPr>
      </w:pPr>
      <w:r w:rsidRPr="006E0D06">
        <w:rPr>
          <w:b/>
          <w:caps/>
          <w:sz w:val="22"/>
          <w:szCs w:val="22"/>
        </w:rPr>
        <w:t>Действие обстоятельств непреодолимой силы</w:t>
      </w:r>
    </w:p>
    <w:p w:rsidR="00A572D0" w:rsidRPr="00B623B8" w:rsidRDefault="00A572D0" w:rsidP="00A572D0">
      <w:pPr>
        <w:pStyle w:val="consnormal1"/>
        <w:spacing w:before="0" w:beforeAutospacing="0" w:after="0" w:afterAutospacing="0"/>
        <w:ind w:left="2629"/>
        <w:rPr>
          <w:b/>
          <w:caps/>
          <w:sz w:val="22"/>
          <w:szCs w:val="22"/>
        </w:rPr>
      </w:pPr>
    </w:p>
    <w:p w:rsidR="00933240" w:rsidRPr="006E0D06" w:rsidRDefault="00F30AAD" w:rsidP="00933240">
      <w:pPr>
        <w:autoSpaceDE w:val="0"/>
        <w:autoSpaceDN w:val="0"/>
        <w:adjustRightInd w:val="0"/>
        <w:ind w:firstLine="540"/>
        <w:jc w:val="both"/>
        <w:rPr>
          <w:sz w:val="22"/>
          <w:szCs w:val="22"/>
        </w:rPr>
      </w:pPr>
      <w:r>
        <w:rPr>
          <w:sz w:val="22"/>
          <w:szCs w:val="22"/>
        </w:rPr>
        <w:lastRenderedPageBreak/>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A572D0" w:rsidRPr="00B623B8" w:rsidRDefault="00A572D0" w:rsidP="00A572D0">
      <w:pPr>
        <w:pStyle w:val="ConsNormal"/>
        <w:ind w:left="2629" w:right="0" w:firstLine="0"/>
        <w:rPr>
          <w:rFonts w:ascii="Times New Roman" w:hAnsi="Times New Roman" w:cs="Times New Roman"/>
          <w:b/>
          <w:sz w:val="22"/>
          <w:szCs w:val="22"/>
        </w:rPr>
      </w:pP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A572D0" w:rsidRDefault="00A572D0" w:rsidP="00933240">
      <w:pPr>
        <w:ind w:firstLineChars="245" w:firstLine="539"/>
        <w:jc w:val="both"/>
        <w:rPr>
          <w:sz w:val="22"/>
          <w:szCs w:val="22"/>
        </w:rPr>
      </w:pPr>
    </w:p>
    <w:p w:rsidR="00A572D0" w:rsidRDefault="00A572D0" w:rsidP="00933240">
      <w:pPr>
        <w:ind w:firstLineChars="245" w:firstLine="539"/>
        <w:jc w:val="both"/>
        <w:rPr>
          <w:sz w:val="22"/>
          <w:szCs w:val="22"/>
        </w:rPr>
      </w:pPr>
    </w:p>
    <w:p w:rsidR="00A572D0" w:rsidRDefault="00A572D0" w:rsidP="00933240">
      <w:pPr>
        <w:ind w:firstLineChars="245" w:firstLine="539"/>
        <w:jc w:val="both"/>
        <w:rPr>
          <w:sz w:val="22"/>
          <w:szCs w:val="22"/>
        </w:rPr>
      </w:pPr>
    </w:p>
    <w:p w:rsidR="00A572D0" w:rsidRPr="006E0D06" w:rsidRDefault="00A572D0" w:rsidP="00933240">
      <w:pPr>
        <w:ind w:firstLineChars="245" w:firstLine="539"/>
        <w:jc w:val="both"/>
        <w:rPr>
          <w:sz w:val="22"/>
          <w:szCs w:val="22"/>
        </w:rPr>
      </w:pP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Default="00933240" w:rsidP="00A572D0">
      <w:pPr>
        <w:pStyle w:val="ConsNormal"/>
        <w:numPr>
          <w:ilvl w:val="0"/>
          <w:numId w:val="23"/>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РАЗРЕШЕНИЕ СПОРОВ МЕЖДУ СТОРОНАМИ</w:t>
      </w:r>
    </w:p>
    <w:p w:rsidR="00A572D0" w:rsidRPr="00B623B8" w:rsidRDefault="00A572D0" w:rsidP="00A572D0">
      <w:pPr>
        <w:pStyle w:val="ConsNormal"/>
        <w:ind w:left="2269"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Default="00DC54A5" w:rsidP="00A572D0">
      <w:pPr>
        <w:pStyle w:val="ConsNormal"/>
        <w:numPr>
          <w:ilvl w:val="0"/>
          <w:numId w:val="23"/>
        </w:numPr>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ИЗМЕНЕНИЕ, РАСТОРЖЕНИЕ МУНИЦИПАЛЬНОГО КОНТРАКТА</w:t>
      </w:r>
    </w:p>
    <w:p w:rsidR="00A572D0" w:rsidRPr="00B623B8" w:rsidRDefault="00A572D0" w:rsidP="00A572D0">
      <w:pPr>
        <w:pStyle w:val="ConsNormal"/>
        <w:tabs>
          <w:tab w:val="left" w:pos="851"/>
          <w:tab w:val="left" w:pos="4678"/>
          <w:tab w:val="left" w:pos="4962"/>
        </w:tabs>
        <w:ind w:left="2629" w:right="0" w:firstLine="0"/>
        <w:rPr>
          <w:rFonts w:ascii="Times New Roman" w:hAnsi="Times New Roman" w:cs="Times New Roman"/>
          <w:b/>
          <w:sz w:val="22"/>
          <w:szCs w:val="22"/>
        </w:rPr>
      </w:pP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FB556C" w:rsidRPr="006E0D06" w:rsidRDefault="00933240" w:rsidP="009F7AF9">
      <w:pPr>
        <w:autoSpaceDE w:val="0"/>
        <w:autoSpaceDN w:val="0"/>
        <w:adjustRightInd w:val="0"/>
        <w:ind w:firstLine="567"/>
        <w:jc w:val="both"/>
        <w:rPr>
          <w:b/>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7F63F0"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A572D0" w:rsidRPr="00B623B8" w:rsidRDefault="00A572D0" w:rsidP="00A572D0">
      <w:pPr>
        <w:pStyle w:val="ConsNormal"/>
        <w:ind w:left="927"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4C6678" w:rsidRDefault="00933240" w:rsidP="004C6678">
      <w:pPr>
        <w:autoSpaceDE w:val="0"/>
        <w:autoSpaceDN w:val="0"/>
        <w:adjustRightInd w:val="0"/>
        <w:ind w:firstLine="540"/>
        <w:jc w:val="both"/>
        <w:rPr>
          <w:sz w:val="22"/>
          <w:szCs w:val="22"/>
        </w:rPr>
      </w:pPr>
      <w:r w:rsidRPr="0060158D">
        <w:rPr>
          <w:sz w:val="22"/>
          <w:szCs w:val="22"/>
        </w:rPr>
        <w:lastRenderedPageBreak/>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A572D0" w:rsidRDefault="00A572D0" w:rsidP="004C6678">
      <w:pPr>
        <w:autoSpaceDE w:val="0"/>
        <w:autoSpaceDN w:val="0"/>
        <w:adjustRightInd w:val="0"/>
        <w:ind w:firstLine="540"/>
        <w:jc w:val="both"/>
        <w:rPr>
          <w:sz w:val="22"/>
          <w:szCs w:val="22"/>
        </w:rPr>
      </w:pPr>
    </w:p>
    <w:p w:rsidR="00A572D0" w:rsidRDefault="00A572D0" w:rsidP="004C6678">
      <w:pPr>
        <w:autoSpaceDE w:val="0"/>
        <w:autoSpaceDN w:val="0"/>
        <w:adjustRightInd w:val="0"/>
        <w:ind w:firstLine="540"/>
        <w:jc w:val="both"/>
        <w:rPr>
          <w:sz w:val="22"/>
          <w:szCs w:val="22"/>
        </w:rPr>
      </w:pPr>
    </w:p>
    <w:p w:rsidR="007F63F0" w:rsidRDefault="00A572D0" w:rsidP="004C6678">
      <w:pPr>
        <w:autoSpaceDE w:val="0"/>
        <w:autoSpaceDN w:val="0"/>
        <w:adjustRightInd w:val="0"/>
        <w:ind w:firstLine="540"/>
        <w:jc w:val="both"/>
        <w:rPr>
          <w:b/>
          <w:sz w:val="22"/>
          <w:szCs w:val="22"/>
        </w:rPr>
      </w:pPr>
      <w:r>
        <w:rPr>
          <w:b/>
          <w:sz w:val="22"/>
          <w:szCs w:val="22"/>
        </w:rPr>
        <w:t xml:space="preserve">                                                      14.  СРОК </w:t>
      </w:r>
      <w:r w:rsidR="00933240" w:rsidRPr="006E0D06">
        <w:rPr>
          <w:b/>
          <w:sz w:val="22"/>
          <w:szCs w:val="22"/>
        </w:rPr>
        <w:t>КОНТРАКТА</w:t>
      </w:r>
    </w:p>
    <w:p w:rsidR="00A572D0" w:rsidRPr="00B623B8" w:rsidRDefault="00A572D0" w:rsidP="004C6678">
      <w:pPr>
        <w:autoSpaceDE w:val="0"/>
        <w:autoSpaceDN w:val="0"/>
        <w:adjustRightInd w:val="0"/>
        <w:ind w:firstLine="540"/>
        <w:jc w:val="both"/>
        <w:rPr>
          <w:b/>
          <w:sz w:val="22"/>
          <w:szCs w:val="22"/>
        </w:rPr>
      </w:pPr>
    </w:p>
    <w:p w:rsidR="00933240" w:rsidRDefault="00933240" w:rsidP="00A572D0">
      <w:pPr>
        <w:pStyle w:val="ConsNormal"/>
        <w:numPr>
          <w:ilvl w:val="1"/>
          <w:numId w:val="26"/>
        </w:numPr>
        <w:ind w:right="0"/>
        <w:jc w:val="both"/>
        <w:rPr>
          <w:rFonts w:ascii="Times New Roman" w:hAnsi="Times New Roman" w:cs="Times New Roman"/>
          <w:sz w:val="22"/>
          <w:szCs w:val="22"/>
        </w:rPr>
      </w:pPr>
      <w:r w:rsidRPr="0060158D">
        <w:rPr>
          <w:rFonts w:ascii="Times New Roman" w:hAnsi="Times New Roman" w:cs="Times New Roman"/>
          <w:sz w:val="22"/>
          <w:szCs w:val="22"/>
        </w:rPr>
        <w:t>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A572D0" w:rsidRDefault="00A572D0" w:rsidP="00A572D0">
      <w:pPr>
        <w:pStyle w:val="ConsNormal"/>
        <w:ind w:left="1722" w:right="0" w:firstLine="0"/>
        <w:jc w:val="both"/>
        <w:rPr>
          <w:rFonts w:ascii="Times New Roman" w:hAnsi="Times New Roman" w:cs="Times New Roman"/>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A572D0" w:rsidRDefault="00A572D0" w:rsidP="00A572D0">
      <w:pPr>
        <w:pStyle w:val="a9"/>
        <w:ind w:left="927"/>
        <w:rPr>
          <w:b/>
          <w:sz w:val="22"/>
          <w:szCs w:val="22"/>
        </w:rP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t>ОКТМО 41621440</w:t>
      </w:r>
    </w:p>
    <w:p w:rsidR="004F1F37" w:rsidRDefault="004F1F37" w:rsidP="004F1F37">
      <w:pPr>
        <w:jc w:val="both"/>
      </w:pPr>
    </w:p>
    <w:p w:rsidR="00F259AA" w:rsidRPr="00FB556C" w:rsidRDefault="00F259AA" w:rsidP="004F1F37">
      <w:pPr>
        <w:jc w:val="both"/>
      </w:pPr>
      <w:r>
        <w:t>М.П.</w:t>
      </w:r>
    </w:p>
    <w:p w:rsidR="004F1F37" w:rsidRDefault="004F1F37" w:rsidP="004F1F37">
      <w:pPr>
        <w:jc w:val="center"/>
        <w:rPr>
          <w:sz w:val="22"/>
          <w:szCs w:val="22"/>
          <w:u w:val="single"/>
        </w:rPr>
      </w:pPr>
      <w:r w:rsidRPr="00FB556C">
        <w:rPr>
          <w:sz w:val="22"/>
          <w:szCs w:val="22"/>
        </w:rPr>
        <w:t>____________________ /</w:t>
      </w:r>
      <w:r>
        <w:rPr>
          <w:sz w:val="22"/>
          <w:szCs w:val="22"/>
          <w:u w:val="single"/>
        </w:rPr>
        <w:t>Т.Д.Шеренговская</w:t>
      </w:r>
      <w:r w:rsidRPr="00FB556C">
        <w:rPr>
          <w:sz w:val="22"/>
          <w:szCs w:val="22"/>
          <w:u w:val="single"/>
        </w:rPr>
        <w:t>/</w:t>
      </w:r>
    </w:p>
    <w:p w:rsidR="00A572D0" w:rsidRDefault="00A572D0" w:rsidP="004F1F37">
      <w:pPr>
        <w:jc w:val="center"/>
        <w:rPr>
          <w:sz w:val="22"/>
          <w:szCs w:val="22"/>
          <w:u w:val="single"/>
        </w:rPr>
      </w:pPr>
    </w:p>
    <w:p w:rsidR="00A572D0" w:rsidRPr="00A572D0" w:rsidRDefault="00A572D0" w:rsidP="004F1F37">
      <w:pPr>
        <w:jc w:val="center"/>
        <w:rPr>
          <w:b/>
          <w:sz w:val="22"/>
          <w:szCs w:val="22"/>
          <w:u w:val="single"/>
        </w:rPr>
      </w:pPr>
      <w:r w:rsidRPr="00A572D0">
        <w:rPr>
          <w:b/>
          <w:sz w:val="22"/>
          <w:szCs w:val="22"/>
          <w:u w:val="single"/>
        </w:rPr>
        <w:t>Подрядчик</w:t>
      </w: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Pr="00A572D0" w:rsidRDefault="00A572D0" w:rsidP="00A572D0">
      <w:pPr>
        <w:rPr>
          <w:b/>
          <w:sz w:val="22"/>
          <w:szCs w:val="22"/>
          <w:u w:val="single"/>
        </w:rPr>
      </w:pPr>
      <w:r w:rsidRPr="00A572D0">
        <w:rPr>
          <w:b/>
          <w:sz w:val="22"/>
          <w:szCs w:val="22"/>
          <w:u w:val="single"/>
        </w:rPr>
        <w:t xml:space="preserve">                                </w:t>
      </w:r>
      <w:r>
        <w:rPr>
          <w:b/>
          <w:sz w:val="22"/>
          <w:szCs w:val="22"/>
          <w:u w:val="single"/>
        </w:rPr>
        <w:t xml:space="preserve">                </w:t>
      </w: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6D3DFD" w:rsidRPr="00FB556C" w:rsidRDefault="006D3DFD" w:rsidP="004F1F37">
      <w:pPr>
        <w:jc w:val="center"/>
        <w:rPr>
          <w:u w:val="single"/>
        </w:rPr>
      </w:pPr>
    </w:p>
    <w:sectPr w:rsidR="006D3DFD" w:rsidRPr="00FB556C"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40E" w:rsidRDefault="0059640E" w:rsidP="00506601">
      <w:r>
        <w:separator/>
      </w:r>
    </w:p>
  </w:endnote>
  <w:endnote w:type="continuationSeparator" w:id="1">
    <w:p w:rsidR="0059640E" w:rsidRDefault="0059640E"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40E" w:rsidRDefault="0059640E" w:rsidP="00506601">
      <w:r>
        <w:separator/>
      </w:r>
    </w:p>
  </w:footnote>
  <w:footnote w:type="continuationSeparator" w:id="1">
    <w:p w:rsidR="0059640E" w:rsidRDefault="0059640E"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617F8C"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617F8C"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E30E09">
      <w:rPr>
        <w:rStyle w:val="a5"/>
        <w:noProof/>
      </w:rPr>
      <w:t>8</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multilevel"/>
    <w:tmpl w:val="D30ACB0E"/>
    <w:lvl w:ilvl="0">
      <w:start w:val="14"/>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4C1D"/>
    <w:rsid w:val="00006362"/>
    <w:rsid w:val="00014A11"/>
    <w:rsid w:val="00020780"/>
    <w:rsid w:val="000213A2"/>
    <w:rsid w:val="000318CB"/>
    <w:rsid w:val="000355B2"/>
    <w:rsid w:val="000549F5"/>
    <w:rsid w:val="00071D09"/>
    <w:rsid w:val="00072AB0"/>
    <w:rsid w:val="00083B47"/>
    <w:rsid w:val="00092B9B"/>
    <w:rsid w:val="000936BF"/>
    <w:rsid w:val="00093DF9"/>
    <w:rsid w:val="00094325"/>
    <w:rsid w:val="00094D1F"/>
    <w:rsid w:val="000A261C"/>
    <w:rsid w:val="000A32C1"/>
    <w:rsid w:val="000A33A2"/>
    <w:rsid w:val="000A75FB"/>
    <w:rsid w:val="000B060B"/>
    <w:rsid w:val="000B33B9"/>
    <w:rsid w:val="000B5312"/>
    <w:rsid w:val="000C2235"/>
    <w:rsid w:val="000D0CCE"/>
    <w:rsid w:val="000D38D0"/>
    <w:rsid w:val="000E3102"/>
    <w:rsid w:val="000E42EB"/>
    <w:rsid w:val="000E78DE"/>
    <w:rsid w:val="00103097"/>
    <w:rsid w:val="001254E3"/>
    <w:rsid w:val="00126D6E"/>
    <w:rsid w:val="00142B68"/>
    <w:rsid w:val="00144862"/>
    <w:rsid w:val="001448F2"/>
    <w:rsid w:val="00147A3A"/>
    <w:rsid w:val="00155069"/>
    <w:rsid w:val="001601E3"/>
    <w:rsid w:val="001671EC"/>
    <w:rsid w:val="00167318"/>
    <w:rsid w:val="0017017C"/>
    <w:rsid w:val="00176087"/>
    <w:rsid w:val="00177C01"/>
    <w:rsid w:val="00186061"/>
    <w:rsid w:val="001952F9"/>
    <w:rsid w:val="001A04B1"/>
    <w:rsid w:val="001A0B6A"/>
    <w:rsid w:val="001A38A1"/>
    <w:rsid w:val="001B1E8C"/>
    <w:rsid w:val="001B22ED"/>
    <w:rsid w:val="001B2B69"/>
    <w:rsid w:val="001B425C"/>
    <w:rsid w:val="001C521C"/>
    <w:rsid w:val="001C63BC"/>
    <w:rsid w:val="001C6988"/>
    <w:rsid w:val="001E57DE"/>
    <w:rsid w:val="001F1C18"/>
    <w:rsid w:val="001F4370"/>
    <w:rsid w:val="0020335F"/>
    <w:rsid w:val="0020368F"/>
    <w:rsid w:val="00210237"/>
    <w:rsid w:val="00215B35"/>
    <w:rsid w:val="00230CC9"/>
    <w:rsid w:val="00231B37"/>
    <w:rsid w:val="00235420"/>
    <w:rsid w:val="0024153E"/>
    <w:rsid w:val="00243659"/>
    <w:rsid w:val="00254182"/>
    <w:rsid w:val="0026033E"/>
    <w:rsid w:val="00264642"/>
    <w:rsid w:val="00265249"/>
    <w:rsid w:val="00283444"/>
    <w:rsid w:val="002A47A2"/>
    <w:rsid w:val="002A5440"/>
    <w:rsid w:val="002A7D5B"/>
    <w:rsid w:val="002D2E93"/>
    <w:rsid w:val="00300DF4"/>
    <w:rsid w:val="00305B7A"/>
    <w:rsid w:val="00315039"/>
    <w:rsid w:val="00316F5D"/>
    <w:rsid w:val="00317345"/>
    <w:rsid w:val="00336C71"/>
    <w:rsid w:val="0033765C"/>
    <w:rsid w:val="0034703C"/>
    <w:rsid w:val="00350DD0"/>
    <w:rsid w:val="00351406"/>
    <w:rsid w:val="0035379D"/>
    <w:rsid w:val="003573E5"/>
    <w:rsid w:val="003668D5"/>
    <w:rsid w:val="00383D20"/>
    <w:rsid w:val="00384E1A"/>
    <w:rsid w:val="00385696"/>
    <w:rsid w:val="003C653C"/>
    <w:rsid w:val="003D780D"/>
    <w:rsid w:val="003E11EC"/>
    <w:rsid w:val="003E7D43"/>
    <w:rsid w:val="003F30E0"/>
    <w:rsid w:val="003F471D"/>
    <w:rsid w:val="00411A5A"/>
    <w:rsid w:val="00417F6E"/>
    <w:rsid w:val="0044340B"/>
    <w:rsid w:val="0044477F"/>
    <w:rsid w:val="00444CB4"/>
    <w:rsid w:val="00451B43"/>
    <w:rsid w:val="004750FB"/>
    <w:rsid w:val="00493817"/>
    <w:rsid w:val="004A0066"/>
    <w:rsid w:val="004C47E1"/>
    <w:rsid w:val="004C6429"/>
    <w:rsid w:val="004C6678"/>
    <w:rsid w:val="004C6A78"/>
    <w:rsid w:val="004C6BE2"/>
    <w:rsid w:val="004D20CA"/>
    <w:rsid w:val="004D4F65"/>
    <w:rsid w:val="004E09A8"/>
    <w:rsid w:val="004F1F37"/>
    <w:rsid w:val="004F5889"/>
    <w:rsid w:val="004F69E8"/>
    <w:rsid w:val="00505591"/>
    <w:rsid w:val="00506601"/>
    <w:rsid w:val="00513906"/>
    <w:rsid w:val="005151E0"/>
    <w:rsid w:val="00526023"/>
    <w:rsid w:val="00527762"/>
    <w:rsid w:val="00534960"/>
    <w:rsid w:val="00537029"/>
    <w:rsid w:val="005371BB"/>
    <w:rsid w:val="00574396"/>
    <w:rsid w:val="00581887"/>
    <w:rsid w:val="00583FDB"/>
    <w:rsid w:val="0059640E"/>
    <w:rsid w:val="00596FCD"/>
    <w:rsid w:val="005A20D2"/>
    <w:rsid w:val="005A5AB5"/>
    <w:rsid w:val="005B7C18"/>
    <w:rsid w:val="005C4DFD"/>
    <w:rsid w:val="005E0310"/>
    <w:rsid w:val="005E1AB7"/>
    <w:rsid w:val="005E2934"/>
    <w:rsid w:val="005E3129"/>
    <w:rsid w:val="005E48B4"/>
    <w:rsid w:val="005F3F87"/>
    <w:rsid w:val="0060024E"/>
    <w:rsid w:val="0060158D"/>
    <w:rsid w:val="0061707F"/>
    <w:rsid w:val="00617F8C"/>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2568"/>
    <w:rsid w:val="006A6891"/>
    <w:rsid w:val="006A6D9D"/>
    <w:rsid w:val="006B2209"/>
    <w:rsid w:val="006B6255"/>
    <w:rsid w:val="006C10C3"/>
    <w:rsid w:val="006C7B0F"/>
    <w:rsid w:val="006D3373"/>
    <w:rsid w:val="006D3DFD"/>
    <w:rsid w:val="006D65F8"/>
    <w:rsid w:val="006E0D06"/>
    <w:rsid w:val="006E134A"/>
    <w:rsid w:val="006E1D11"/>
    <w:rsid w:val="006E220A"/>
    <w:rsid w:val="006F1293"/>
    <w:rsid w:val="0070400D"/>
    <w:rsid w:val="00705E5A"/>
    <w:rsid w:val="00712EE5"/>
    <w:rsid w:val="007159FE"/>
    <w:rsid w:val="007214B7"/>
    <w:rsid w:val="007240EA"/>
    <w:rsid w:val="007242E5"/>
    <w:rsid w:val="00726235"/>
    <w:rsid w:val="0072671C"/>
    <w:rsid w:val="00726D2C"/>
    <w:rsid w:val="00727857"/>
    <w:rsid w:val="007309FE"/>
    <w:rsid w:val="00732A26"/>
    <w:rsid w:val="0073504E"/>
    <w:rsid w:val="00744BA5"/>
    <w:rsid w:val="0075167F"/>
    <w:rsid w:val="00752233"/>
    <w:rsid w:val="00767CB9"/>
    <w:rsid w:val="00775454"/>
    <w:rsid w:val="0077550D"/>
    <w:rsid w:val="00776FCC"/>
    <w:rsid w:val="00780636"/>
    <w:rsid w:val="007829E5"/>
    <w:rsid w:val="007A5F70"/>
    <w:rsid w:val="007B6961"/>
    <w:rsid w:val="007C659A"/>
    <w:rsid w:val="007D59A0"/>
    <w:rsid w:val="007F13C0"/>
    <w:rsid w:val="007F63F0"/>
    <w:rsid w:val="0080341E"/>
    <w:rsid w:val="00804F2C"/>
    <w:rsid w:val="00812320"/>
    <w:rsid w:val="008158F6"/>
    <w:rsid w:val="00817B93"/>
    <w:rsid w:val="00820136"/>
    <w:rsid w:val="008252BB"/>
    <w:rsid w:val="00832E2E"/>
    <w:rsid w:val="00842484"/>
    <w:rsid w:val="00845975"/>
    <w:rsid w:val="00846EFE"/>
    <w:rsid w:val="00852290"/>
    <w:rsid w:val="0086311A"/>
    <w:rsid w:val="0087545B"/>
    <w:rsid w:val="00881B4E"/>
    <w:rsid w:val="00883CA3"/>
    <w:rsid w:val="00886E38"/>
    <w:rsid w:val="00887605"/>
    <w:rsid w:val="008B0E14"/>
    <w:rsid w:val="008C166A"/>
    <w:rsid w:val="008C7B00"/>
    <w:rsid w:val="008D3B52"/>
    <w:rsid w:val="008E0D0A"/>
    <w:rsid w:val="008E3595"/>
    <w:rsid w:val="008E6AB2"/>
    <w:rsid w:val="008F0B9C"/>
    <w:rsid w:val="008F37BD"/>
    <w:rsid w:val="008F4B92"/>
    <w:rsid w:val="008F5213"/>
    <w:rsid w:val="009038C4"/>
    <w:rsid w:val="009052CA"/>
    <w:rsid w:val="00910FD1"/>
    <w:rsid w:val="00920C67"/>
    <w:rsid w:val="00933240"/>
    <w:rsid w:val="00940A70"/>
    <w:rsid w:val="009412F3"/>
    <w:rsid w:val="00944FF0"/>
    <w:rsid w:val="00955F62"/>
    <w:rsid w:val="00956826"/>
    <w:rsid w:val="00957DC9"/>
    <w:rsid w:val="009621E8"/>
    <w:rsid w:val="009737C4"/>
    <w:rsid w:val="009764B9"/>
    <w:rsid w:val="00976EE0"/>
    <w:rsid w:val="009963FA"/>
    <w:rsid w:val="00997E1A"/>
    <w:rsid w:val="009A14F8"/>
    <w:rsid w:val="009B28EC"/>
    <w:rsid w:val="009B4B03"/>
    <w:rsid w:val="009B5F94"/>
    <w:rsid w:val="009C182F"/>
    <w:rsid w:val="009C2045"/>
    <w:rsid w:val="009C2B09"/>
    <w:rsid w:val="009C7761"/>
    <w:rsid w:val="009D403D"/>
    <w:rsid w:val="009D5DEB"/>
    <w:rsid w:val="009F1BB7"/>
    <w:rsid w:val="009F5107"/>
    <w:rsid w:val="009F7AF9"/>
    <w:rsid w:val="00A00583"/>
    <w:rsid w:val="00A0508A"/>
    <w:rsid w:val="00A10581"/>
    <w:rsid w:val="00A11600"/>
    <w:rsid w:val="00A1705E"/>
    <w:rsid w:val="00A20254"/>
    <w:rsid w:val="00A37A03"/>
    <w:rsid w:val="00A467FC"/>
    <w:rsid w:val="00A572D0"/>
    <w:rsid w:val="00A655E6"/>
    <w:rsid w:val="00A671E0"/>
    <w:rsid w:val="00A77CAE"/>
    <w:rsid w:val="00A830DA"/>
    <w:rsid w:val="00A833A1"/>
    <w:rsid w:val="00AA1D46"/>
    <w:rsid w:val="00AB1E1C"/>
    <w:rsid w:val="00AB5719"/>
    <w:rsid w:val="00AC48EA"/>
    <w:rsid w:val="00AC7DF3"/>
    <w:rsid w:val="00AD0F65"/>
    <w:rsid w:val="00AE129A"/>
    <w:rsid w:val="00AE2E72"/>
    <w:rsid w:val="00AE7480"/>
    <w:rsid w:val="00AF1A8A"/>
    <w:rsid w:val="00B0235D"/>
    <w:rsid w:val="00B0275E"/>
    <w:rsid w:val="00B04185"/>
    <w:rsid w:val="00B07217"/>
    <w:rsid w:val="00B15AEB"/>
    <w:rsid w:val="00B361FA"/>
    <w:rsid w:val="00B433B1"/>
    <w:rsid w:val="00B54A4D"/>
    <w:rsid w:val="00B54F7A"/>
    <w:rsid w:val="00B623B8"/>
    <w:rsid w:val="00B6725D"/>
    <w:rsid w:val="00B70244"/>
    <w:rsid w:val="00B81D83"/>
    <w:rsid w:val="00B9407B"/>
    <w:rsid w:val="00BA7E5B"/>
    <w:rsid w:val="00BB72BA"/>
    <w:rsid w:val="00BD0F7B"/>
    <w:rsid w:val="00BD513A"/>
    <w:rsid w:val="00BE11FB"/>
    <w:rsid w:val="00BE46D8"/>
    <w:rsid w:val="00BF3193"/>
    <w:rsid w:val="00C01C3B"/>
    <w:rsid w:val="00C17754"/>
    <w:rsid w:val="00C3008D"/>
    <w:rsid w:val="00C42B8F"/>
    <w:rsid w:val="00C50568"/>
    <w:rsid w:val="00C5462B"/>
    <w:rsid w:val="00C80E78"/>
    <w:rsid w:val="00C85444"/>
    <w:rsid w:val="00C8789B"/>
    <w:rsid w:val="00C87D18"/>
    <w:rsid w:val="00C909F5"/>
    <w:rsid w:val="00CA0953"/>
    <w:rsid w:val="00CA3380"/>
    <w:rsid w:val="00CA53A3"/>
    <w:rsid w:val="00CB02ED"/>
    <w:rsid w:val="00CB7794"/>
    <w:rsid w:val="00CC0616"/>
    <w:rsid w:val="00CC7650"/>
    <w:rsid w:val="00CD169F"/>
    <w:rsid w:val="00CD28FD"/>
    <w:rsid w:val="00CD2C7E"/>
    <w:rsid w:val="00CE7FCF"/>
    <w:rsid w:val="00CF7983"/>
    <w:rsid w:val="00D04752"/>
    <w:rsid w:val="00D24CCC"/>
    <w:rsid w:val="00D35432"/>
    <w:rsid w:val="00D574B9"/>
    <w:rsid w:val="00D63D6F"/>
    <w:rsid w:val="00D63E36"/>
    <w:rsid w:val="00D821A8"/>
    <w:rsid w:val="00D86DD5"/>
    <w:rsid w:val="00DA208A"/>
    <w:rsid w:val="00DC54A5"/>
    <w:rsid w:val="00DC738A"/>
    <w:rsid w:val="00DE4BAD"/>
    <w:rsid w:val="00DF3A2B"/>
    <w:rsid w:val="00E0086E"/>
    <w:rsid w:val="00E019A4"/>
    <w:rsid w:val="00E137D6"/>
    <w:rsid w:val="00E17E50"/>
    <w:rsid w:val="00E30E09"/>
    <w:rsid w:val="00E311E9"/>
    <w:rsid w:val="00E35576"/>
    <w:rsid w:val="00E42AA6"/>
    <w:rsid w:val="00E4491C"/>
    <w:rsid w:val="00E47567"/>
    <w:rsid w:val="00E55DC2"/>
    <w:rsid w:val="00E87041"/>
    <w:rsid w:val="00E90731"/>
    <w:rsid w:val="00E92B32"/>
    <w:rsid w:val="00E92FC6"/>
    <w:rsid w:val="00E93160"/>
    <w:rsid w:val="00E94A00"/>
    <w:rsid w:val="00E96560"/>
    <w:rsid w:val="00EA5722"/>
    <w:rsid w:val="00EB2E1E"/>
    <w:rsid w:val="00EC3161"/>
    <w:rsid w:val="00EC62A4"/>
    <w:rsid w:val="00EC73D2"/>
    <w:rsid w:val="00EF7427"/>
    <w:rsid w:val="00EF7F6D"/>
    <w:rsid w:val="00F01F3A"/>
    <w:rsid w:val="00F05FC3"/>
    <w:rsid w:val="00F24FB5"/>
    <w:rsid w:val="00F259AA"/>
    <w:rsid w:val="00F30AAD"/>
    <w:rsid w:val="00F33352"/>
    <w:rsid w:val="00F62F5D"/>
    <w:rsid w:val="00F66B67"/>
    <w:rsid w:val="00F77279"/>
    <w:rsid w:val="00F8259A"/>
    <w:rsid w:val="00F83F0C"/>
    <w:rsid w:val="00F91A32"/>
    <w:rsid w:val="00F96AFA"/>
    <w:rsid w:val="00FA3103"/>
    <w:rsid w:val="00FB556C"/>
    <w:rsid w:val="00FC0511"/>
    <w:rsid w:val="00FD2305"/>
    <w:rsid w:val="00FE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147</cp:revision>
  <cp:lastPrinted>2015-04-24T09:40:00Z</cp:lastPrinted>
  <dcterms:created xsi:type="dcterms:W3CDTF">2011-03-17T00:58:00Z</dcterms:created>
  <dcterms:modified xsi:type="dcterms:W3CDTF">2015-06-15T07:36:00Z</dcterms:modified>
</cp:coreProperties>
</file>